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120"/>
        <w:jc w:val="center"/>
      </w:pPr>
      <w:r>
        <w:rPr>
          <w:rFonts w:ascii="Calibri" w:cs="Calibri" w:eastAsia="Calibri" w:hAnsi="Calibri"/>
          <w:b/>
          <w:bCs/>
          <w:color w:val="1B3A63"/>
          <w:sz w:val="36"/>
          <w:szCs w:val="36"/>
        </w:rPr>
        <w:t xml:space="preserve">TP — INTERVENTION FRIGORIFIQUE</w:t>
      </w:r>
    </w:p>
    <w:p>
      <w:pPr>
        <w:spacing w:after="240" w:before="0"/>
        <w:jc w:val="center"/>
      </w:pPr>
      <w:r>
        <w:rPr>
          <w:rFonts w:ascii="Calibri" w:cs="Calibri" w:eastAsia="Calibri" w:hAnsi="Calibri"/>
          <w:b/>
          <w:bCs/>
          <w:color w:val="FF6B35"/>
          <w:sz w:val="26"/>
          <w:szCs w:val="26"/>
        </w:rPr>
        <w:t xml:space="preserve">Identification, pose, mise en service, pump-down et dépose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rPr>
          <w:cantSplit/>
          <w:tblHeader/>
        </w:trPr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Nom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Prénom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Classe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Date</w:t>
            </w:r>
          </w:p>
        </w:tc>
      </w:tr>
      <w:tr>
        <w:trPr>
          <w:cantSplit/>
          <w:trHeight w:val="600" w:hRule="atLeast"/>
        </w:trPr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500"/>
        <w:gridCol w:w="2000"/>
        <w:gridCol w:w="1860"/>
      </w:tblGrid>
      <w:tr>
        <w:trPr>
          <w:cantSplit/>
        </w:trPr>
        <w:tc>
          <w:tcPr>
            <w:tcW w:type="dxa" w:w="55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TP N° :  …………</w:t>
            </w:r>
          </w:p>
        </w:tc>
        <w:tc>
          <w:tcPr>
            <w:tcW w:type="dxa" w:w="20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NOTE</w:t>
            </w:r>
          </w:p>
        </w:tc>
        <w:tc>
          <w:tcPr>
            <w:tcW w:type="dxa" w:w="18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6"/>
                <w:szCs w:val="26"/>
              </w:rPr>
              <w:t xml:space="preserve">……… / 20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1B3A63" w:sz="2"/>
          <w:left w:val="single" w:color="1B3A63" w:sz="2"/>
          <w:bottom w:val="single" w:color="1B3A63" w:sz="2"/>
          <w:right w:val="single" w:color="1B3A63" w:sz="2"/>
          <w:insideH w:val="single" w:color="1B3A63" w:sz="2"/>
          <w:insideV w:val="single" w:color="1B3A63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1B3A63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1</w:t>
            </w:r>
          </w:p>
        </w:tc>
        <w:tc>
          <w:tcPr>
            <w:tcW w:type="dxa" w:w="866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E8EEF5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3A63"/>
                <w:sz w:val="28"/>
                <w:szCs w:val="28"/>
              </w:rPr>
              <w:t xml:space="preserve">CAHIER DES CHARGES</w:t>
            </w:r>
          </w:p>
        </w:tc>
      </w:tr>
    </w:tbl>
    <w:p>
      <w:pPr>
        <w:spacing w:after="60" w:before="120"/>
      </w:pPr>
      <w:r>
        <w:rPr>
          <w:rFonts w:ascii="Calibri" w:cs="Calibri" w:eastAsia="Calibri" w:hAnsi="Calibri"/>
          <w:sz w:val="24"/>
          <w:szCs w:val="24"/>
        </w:rPr>
        <w:t xml:space="preserve">Tu interviens sur une installation frigorifique de l'atelier. L'installation est étiquetée au R-134a, mais elle est actuellement sous pression d'azote (≈ 5 bar) pour des raisons de sécurité pédagogique — ce qui te permet de manipuler sans risque ni perte de fluide.</w:t>
      </w:r>
    </w:p>
    <w:p>
      <w:pPr>
        <w:spacing w:after="120" w:before="60"/>
      </w:pPr>
      <w:r>
        <w:rPr>
          <w:rFonts w:ascii="Calibri" w:cs="Calibri" w:eastAsia="Calibri" w:hAnsi="Calibri"/>
          <w:sz w:val="24"/>
          <w:szCs w:val="24"/>
        </w:rPr>
        <w:t xml:space="preserve">Tu dois réaliser l'intervention complète dans les règles de l'art : identifier l'installation, déterminer le fluide présent, poser les manomètres mobiles, mettre l'installation en service, relever les réglages du pressostat BP, provoquer un pump-down (ravalement dans la bouteille liquide), puis déposer le jeu de manomètres — le tout dans le respect de la réglementation F-Gaz.</w:t>
      </w:r>
    </w:p>
    <w:p>
      <w:r>
        <w:br w:type="page"/>
      </w:r>
    </w:p>
    <w:tbl>
      <w:tblPr>
        <w:tblW w:type="dxa" w:w="9360"/>
        <w:tblBorders>
          <w:top w:val="single" w:color="1B3A63" w:sz="2"/>
          <w:left w:val="single" w:color="1B3A63" w:sz="2"/>
          <w:bottom w:val="single" w:color="1B3A63" w:sz="2"/>
          <w:right w:val="single" w:color="1B3A63" w:sz="2"/>
          <w:insideH w:val="single" w:color="1B3A63" w:sz="2"/>
          <w:insideV w:val="single" w:color="1B3A63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1B3A63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2</w:t>
            </w:r>
          </w:p>
        </w:tc>
        <w:tc>
          <w:tcPr>
            <w:tcW w:type="dxa" w:w="866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E8EEF5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3A63"/>
                <w:sz w:val="28"/>
                <w:szCs w:val="28"/>
              </w:rPr>
              <w:t xml:space="preserve">TRAVAIL DEMANDÉ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6460"/>
        <w:gridCol w:w="22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#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Tâche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Réponse sur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les plaques signalétiques des 4 composants et identifier le fluide étiqueté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Copie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pression sur les manos en poste fixe + T° ambiante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Copie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Utiliser le rapport P/T pour conclure : fluide ou azote dans l'installation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Copie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Poser les manomètres mobiles (raccordement sur vannes de service)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Installation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Tirer au vide les flexibles avant ouverture des vannes de service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Installation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Ouvrir les vannes de service et relever les pressions (mobile vs poste fixe)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Installation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7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Mettre l'installation en service et relever les réglages du pressostat BP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Installation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8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Réaliser un pump-down (ravalement du fluide dans la bouteille liquide)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Installation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9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Déposer le jeu de manomètres dans les règles de l'art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Installation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10</w:t>
            </w:r>
          </w:p>
        </w:tc>
        <w:tc>
          <w:tcPr>
            <w:tcW w:type="dxa" w:w="64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Compléter l'analyse des risques et gérer le poste de travail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color w:val="FF6B35"/>
                <w:sz w:val="22"/>
                <w:szCs w:val="22"/>
              </w:rPr>
              <w:t xml:space="preserve">Copie + Atelier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p>
      <w:r>
        <w:br w:type="page"/>
      </w:r>
    </w:p>
    <w:tbl>
      <w:tblPr>
        <w:tblW w:type="dxa" w:w="9360"/>
        <w:tblBorders>
          <w:top w:val="single" w:color="FF6B35" w:sz="2"/>
          <w:left w:val="single" w:color="FF6B35" w:sz="2"/>
          <w:bottom w:val="single" w:color="FF6B35" w:sz="2"/>
          <w:right w:val="single" w:color="FF6B35" w:sz="2"/>
          <w:insideH w:val="single" w:color="FF6B35" w:sz="2"/>
          <w:insideV w:val="single" w:color="FF6B35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FF6B35" w:sz="2"/>
              <w:left w:val="single" w:color="FF6B35" w:sz="2"/>
              <w:bottom w:val="single" w:color="FF6B35" w:sz="2"/>
              <w:right w:val="single" w:color="FF6B35" w:sz="2"/>
            </w:tcBorders>
            <w:shd w:fill="FF6B35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3</w:t>
            </w:r>
          </w:p>
        </w:tc>
        <w:tc>
          <w:tcPr>
            <w:tcW w:type="dxa" w:w="8660"/>
            <w:tcBorders>
              <w:top w:val="single" w:color="FF6B35" w:sz="2"/>
              <w:left w:val="single" w:color="FF6B35" w:sz="2"/>
              <w:bottom w:val="single" w:color="FF6B35" w:sz="2"/>
              <w:right w:val="single" w:color="FF6B35" w:sz="2"/>
            </w:tcBorders>
            <w:shd w:fill="F5F1EB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6B35"/>
                <w:sz w:val="28"/>
                <w:szCs w:val="28"/>
              </w:rPr>
              <w:t xml:space="preserve">CRITÈRES D'ÉVALUATION (alignés EP3)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7260"/>
        <w:gridCol w:w="1200"/>
      </w:tblGrid>
      <w:tr>
        <w:trPr>
          <w:cantSplit/>
          <w:tblHeader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Réf.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Critère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Barème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C1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Identification installation correcte (plaques des 4 composants, fluide étiqueté)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2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C2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Exploitation du rapport P/T et conclusion (azote ou fluide)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2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C3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Pose des manos conforme (siège arrière, serrage main, pas de clé sur flexibles)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3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C4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Tirage au vide des flexibles correctement réalisé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2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C5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Relevé comparatif mobile vs poste fixe (détection fuite éventuelle)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1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C6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Relevé + appréciation des réglages du pressostat BP (Cut-in / Cut-out)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2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C7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Pump-down réalisé dans les règles (méthode choisie, ordre, arrêt sur BP)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3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C8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Dépose correcte (ordre, pas de rejet F-Gaz, rangement complet)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2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C9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Analyse des risques + EPI + poste de travail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2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C10</w:t>
            </w:r>
          </w:p>
        </w:tc>
        <w:tc>
          <w:tcPr>
            <w:tcW w:type="dxa" w:w="72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Posture professionnelle (autonomie, vocabulaire, respect consignes)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/ 1</w:t>
            </w:r>
          </w:p>
        </w:tc>
      </w:tr>
      <w:tr>
        <w:trPr>
          <w:cantSplit/>
        </w:trPr>
        <w:tc>
          <w:tcPr>
            <w:tcW w:type="dxa" w:w="8160"/>
            <w:gridSpan w:val="2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TOTAL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6"/>
                <w:szCs w:val="26"/>
              </w:rPr>
              <w:t xml:space="preserve">… / 20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CFC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Remarques / observations :</w:t>
            </w:r>
          </w:p>
          <w:p>
            <w:pPr>
              <w:spacing w:after="40" w:before="4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after="40" w:before="4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after="60" w:before="80"/>
            </w:pPr>
            <w:r>
              <w:rPr>
                <w:rFonts w:ascii="Calibri" w:cs="Calibri" w:eastAsia="Calibri" w:hAnsi="Calibri"/>
                <w:i/>
                <w:iCs/>
                <w:sz w:val="22"/>
                <w:szCs w:val="22"/>
              </w:rPr>
              <w:t xml:space="preserve">Signature de l'enseignant : ………………………………</w:t>
            </w:r>
          </w:p>
        </w:tc>
      </w:tr>
    </w:tbl>
    <w:p>
      <w:r>
        <w:br w:type="page"/>
      </w:r>
    </w:p>
    <w:tbl>
      <w:tblPr>
        <w:tblW w:type="dxa" w:w="9360"/>
        <w:tblBorders>
          <w:top w:val="single" w:color="1B3A63" w:sz="2"/>
          <w:left w:val="single" w:color="1B3A63" w:sz="2"/>
          <w:bottom w:val="single" w:color="1B3A63" w:sz="2"/>
          <w:right w:val="single" w:color="1B3A63" w:sz="2"/>
          <w:insideH w:val="single" w:color="1B3A63" w:sz="2"/>
          <w:insideV w:val="single" w:color="1B3A63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1B3A63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4</w:t>
            </w:r>
          </w:p>
        </w:tc>
        <w:tc>
          <w:tcPr>
            <w:tcW w:type="dxa" w:w="866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E8EEF5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3A63"/>
                <w:sz w:val="28"/>
                <w:szCs w:val="28"/>
              </w:rPr>
              <w:t xml:space="preserve">RAPPELS THÉORIQUES — à maîtriser avant l'EP3</w:t>
            </w:r>
          </w:p>
        </w:tc>
      </w:tr>
    </w:tbl>
    <w:p>
      <w:pPr>
        <w:spacing w:after="4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4.1 — Contexte du TP : installation sous azote</w:t>
      </w:r>
    </w:p>
    <w:tbl>
      <w:tblPr>
        <w:tblW w:type="dxa" w:w="9360"/>
        <w:tblBorders>
          <w:top w:val="single" w:color="1B3A63" w:sz="8"/>
          <w:left w:val="single" w:color="1B3A63" w:sz="8"/>
          <w:bottom w:val="single" w:color="1B3A63" w:sz="8"/>
          <w:right w:val="single" w:color="1B3A63" w:sz="8"/>
          <w:insideH w:val="single" w:color="1B3A63" w:sz="4"/>
          <w:insideV w:val="single" w:color="1B3A63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4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ℹ  Pourquoi de l'azote et pas du R-134a ?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Les installations pédagogiques de l'atelier sont étiquetées R-134a, mais elles sont remplies à environ 5 bar d'azote (gaz inerte, sec et incondensable).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Objectif : te permettre de manipuler (pose, dépose, pump-down, mise en service) SANS risque pour toi et SANS perte de fluide frigorigène.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Conséquence : l'installation tourne, mais comme l'azote n'est pas un frigorigène, il n'y a pas de production de froid et le compresseur chauffe plus que d'habitude. C'est normal, mais ne pas faire tourner trop longtemps.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Enjeu pédagogique : tu vas devoir DÉMONTRER que ce qui est dans l'installation est de l'azote et pas du R-134a, en utilisant le rapport P/T.</w:t>
            </w:r>
          </w:p>
        </w:tc>
      </w:tr>
    </w:tbl>
    <w:p>
      <w:pPr>
        <w:spacing w:after="80" w:before="20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4.2 — Le jeu de manomètres (by-pass)</w:t>
      </w:r>
    </w:p>
    <w:p>
      <w:pPr>
        <w:spacing w:after="80" w:before="60"/>
      </w:pPr>
      <w:r>
        <w:rPr>
          <w:rFonts w:ascii="Calibri" w:cs="Calibri" w:eastAsia="Calibri" w:hAnsi="Calibri"/>
          <w:sz w:val="24"/>
          <w:szCs w:val="24"/>
        </w:rPr>
        <w:t xml:space="preserve">Le jeu de manomètres (ou by-pass) est l'outil de base du frigoriste. Il permet de mesurer les pressions BP et HP, de réaliser le tirage au vide des flexibles, de charger ou récupérer le fluide.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4960"/>
      </w:tblGrid>
      <w:tr>
        <w:trPr>
          <w:cantSplit/>
          <w:tblHeader/>
        </w:trPr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Élément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Couleur</w:t>
            </w:r>
          </w:p>
        </w:tc>
        <w:tc>
          <w:tcPr>
            <w:tcW w:type="dxa" w:w="49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Rôle</w:t>
            </w:r>
          </w:p>
        </w:tc>
      </w:tr>
      <w:tr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Manomètre BP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Bleu (-1 à 10 bar)</w:t>
            </w:r>
          </w:p>
        </w:tc>
        <w:tc>
          <w:tcPr>
            <w:tcW w:type="dxa" w:w="49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Pression d'aspiration (évaporation).</w:t>
            </w:r>
          </w:p>
        </w:tc>
      </w:tr>
      <w:tr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Manomètre HP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Rouge (0 à 30/50 bar)</w:t>
            </w:r>
          </w:p>
        </w:tc>
        <w:tc>
          <w:tcPr>
            <w:tcW w:type="dxa" w:w="49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Pression de refoulement (condensation).</w:t>
            </w:r>
          </w:p>
        </w:tc>
      </w:tr>
      <w:tr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Flexible commun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Jaune</w:t>
            </w:r>
          </w:p>
        </w:tc>
        <w:tc>
          <w:tcPr>
            <w:tcW w:type="dxa" w:w="49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Pompe à vide, bouteille de fluide, station de récupération.</w:t>
            </w:r>
          </w:p>
        </w:tc>
      </w:tr>
      <w:tr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Vannes ¼ de tour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Sur les flexibles</w:t>
            </w:r>
          </w:p>
        </w:tc>
        <w:tc>
          <w:tcPr>
            <w:tcW w:type="dxa" w:w="49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Isolation de chaque circuit → limite les pertes de fluide.</w:t>
            </w:r>
          </w:p>
        </w:tc>
      </w:tr>
    </w:tbl>
    <w:p>
      <w:r>
        <w:br w:type="page"/>
      </w:r>
    </w:p>
    <w:p>
      <w:pPr>
        <w:spacing w:after="80" w:before="20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4.3 — La vanne de service (3 positions)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2800"/>
        <w:gridCol w:w="5160"/>
      </w:tblGrid>
      <w:tr>
        <w:trPr>
          <w:cantSplit/>
          <w:tblHeader/>
        </w:trPr>
        <w:tc>
          <w:tcPr>
            <w:tcW w:type="dxa" w:w="1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Position</w:t>
            </w:r>
          </w:p>
        </w:tc>
        <w:tc>
          <w:tcPr>
            <w:tcW w:type="dxa" w:w="2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Nom</w:t>
            </w:r>
          </w:p>
        </w:tc>
        <w:tc>
          <w:tcPr>
            <w:tcW w:type="dxa" w:w="5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Effet</w:t>
            </w:r>
          </w:p>
        </w:tc>
      </w:tr>
      <w:tr>
        <w:tc>
          <w:tcPr>
            <w:tcW w:type="dxa" w:w="1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6"/>
                <w:szCs w:val="26"/>
              </w:rPr>
              <w:t xml:space="preserve">1</w:t>
            </w:r>
          </w:p>
        </w:tc>
        <w:tc>
          <w:tcPr>
            <w:tcW w:type="dxa" w:w="2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Siège arrière (dévissée à fond)</w:t>
            </w:r>
          </w:p>
        </w:tc>
        <w:tc>
          <w:tcPr>
            <w:tcW w:type="dxa" w:w="5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Installation en service — prise de pression FERMÉE. Position normale.</w:t>
            </w:r>
          </w:p>
        </w:tc>
      </w:tr>
      <w:tr>
        <w:tc>
          <w:tcPr>
            <w:tcW w:type="dxa" w:w="1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6"/>
                <w:szCs w:val="26"/>
              </w:rPr>
              <w:t xml:space="preserve">2</w:t>
            </w:r>
          </w:p>
        </w:tc>
        <w:tc>
          <w:tcPr>
            <w:tcW w:type="dxa" w:w="2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Position intermédiaire</w:t>
            </w:r>
          </w:p>
        </w:tc>
        <w:tc>
          <w:tcPr>
            <w:tcW w:type="dxa" w:w="5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Installation en communication avec la prise de pression → le manomètre lit.</w:t>
            </w:r>
          </w:p>
        </w:tc>
      </w:tr>
      <w:tr>
        <w:tc>
          <w:tcPr>
            <w:tcW w:type="dxa" w:w="1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sz w:val="26"/>
                <w:szCs w:val="26"/>
              </w:rPr>
              <w:t xml:space="preserve">3</w:t>
            </w:r>
          </w:p>
        </w:tc>
        <w:tc>
          <w:tcPr>
            <w:tcW w:type="dxa" w:w="2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Siège avant (vissée à fond)</w:t>
            </w:r>
          </w:p>
        </w:tc>
        <w:tc>
          <w:tcPr>
            <w:tcW w:type="dxa" w:w="5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Installation ISOLÉE du compresseur. Pour intervention accessoire. ATTENTION danger si oubliée !</w:t>
            </w:r>
          </w:p>
        </w:tc>
      </w:tr>
    </w:tbl>
    <w:p>
      <w:pPr>
        <w:spacing w:after="80" w:before="20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4.4 — Le rapport pression / température (P/T)</w:t>
      </w:r>
    </w:p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Chaque fluide frigorigène a une courbe de saturation unique : à une pression donnée, il a UNE SEULE température d'évaporation. Cette relation P/T est fournie par une table du fabricant ou une appli (ex. Climapp).</w:t>
      </w:r>
    </w:p>
    <w:p>
      <w:pPr>
        <w:spacing w:after="40" w:before="6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Comment l'utiliser pour identifier le fluide dans l'installation :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sz w:val="22"/>
          <w:szCs w:val="22"/>
        </w:rPr>
        <w:t xml:space="preserve">Relever la température ambiante (T°) près de l'installation, à l'arrêt depuis longtemps.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sz w:val="22"/>
          <w:szCs w:val="22"/>
        </w:rPr>
        <w:t xml:space="preserve">Relever la pression sur le manomètre poste fixe (BP ou HP, à l'arrêt ils sont égaux).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sz w:val="22"/>
          <w:szCs w:val="22"/>
        </w:rPr>
        <w:t xml:space="preserve">Consulter la table P/T du fluide ÉTIQUETÉ (ici : R-134a).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sz w:val="22"/>
          <w:szCs w:val="22"/>
        </w:rPr>
        <w:t xml:space="preserve">Comparer : est-ce que la pression lue correspond à la température ambiante pour ce fluide ?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sz w:val="22"/>
          <w:szCs w:val="22"/>
        </w:rPr>
        <w:t xml:space="preserve">Si OUI à plusieurs T° successives : c'est bien le fluide étiqueté.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sz w:val="22"/>
          <w:szCs w:val="22"/>
        </w:rPr>
        <w:t xml:space="preserve">Si NON (pression trop forte ou constante quelle que soit T°) : incondensable = AZOTE.</w:t>
      </w:r>
    </w:p>
    <w:p>
      <w:r>
        <w:br w:type="page"/>
      </w:r>
    </w:p>
    <w:p>
      <w:pPr>
        <w:spacing w:after="80" w:before="20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4.5 — Le pressostat BP (Cut-in / Cut-out)</w:t>
      </w:r>
    </w:p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Le pressostat BP protège le compresseur en l'arrêtant si la pression d'aspiration devient trop basse (sécurité ou pump-down). Il possède deux réglages 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200"/>
        <w:gridCol w:w="4760"/>
      </w:tblGrid>
      <w:tr>
        <w:trPr>
          <w:cantSplit/>
          <w:tblHeader/>
        </w:trPr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Réglage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Symbole</w:t>
            </w:r>
          </w:p>
        </w:tc>
        <w:tc>
          <w:tcPr>
            <w:tcW w:type="dxa" w:w="4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Rôle</w:t>
            </w:r>
          </w:p>
        </w:tc>
      </w:tr>
      <w:tr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Cut-in (enclenchement)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Pression HAUTE</w:t>
            </w:r>
          </w:p>
        </w:tc>
        <w:tc>
          <w:tcPr>
            <w:tcW w:type="dxa" w:w="4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Pression à laquelle le compresseur DÉMARRE.</w:t>
            </w:r>
          </w:p>
        </w:tc>
      </w:tr>
      <w:tr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Cut-out (coupure)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Pression BASSE</w:t>
            </w:r>
          </w:p>
        </w:tc>
        <w:tc>
          <w:tcPr>
            <w:tcW w:type="dxa" w:w="4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Pression à laquelle le compresseur S'ARRÊTE.</w:t>
            </w:r>
          </w:p>
        </w:tc>
      </w:tr>
      <w:tr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sz w:val="24"/>
                <w:szCs w:val="24"/>
              </w:rPr>
              <w:t xml:space="preserve">Différentiel</w:t>
            </w:r>
          </w:p>
        </w:tc>
        <w:tc>
          <w:tcPr>
            <w:tcW w:type="dxa" w:w="2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Diff = Cut-in − Cut-out</w:t>
            </w:r>
          </w:p>
        </w:tc>
        <w:tc>
          <w:tcPr>
            <w:tcW w:type="dxa" w:w="4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Écart entre démarrage et arrêt. Évite que le compresseur cycle trop vite.</w:t>
            </w:r>
          </w:p>
        </w:tc>
      </w:tr>
    </w:tbl>
    <w:p>
      <w:pPr>
        <w:spacing w:after="80" w:before="20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4.6 — Le pump-down (ravalement dans la bouteille liquide)</w:t>
      </w:r>
    </w:p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Avant une dépose de composant ou une intervention, on stocke tout le fluide côté HP (réservoir liquide) pour ne pas avoir à le récupérer en bouteille. Le principe : on empêche le fluide de revenir vers l'évaporateur et on laisse le compresseur l'aspirer jusqu'à ce que le pressostat BP coupe.</w:t>
      </w:r>
    </w:p>
    <w:p>
      <w:pPr>
        <w:spacing w:after="40" w:before="6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Deux méthodes pour forcer le pump-down 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360"/>
      </w:tblGrid>
      <w:tr>
        <w:trPr>
          <w:cantSplit/>
          <w:tblHeader/>
        </w:trPr>
        <w:tc>
          <w:tcPr>
            <w:tcW w:type="dxa" w:w="20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Méthode</w:t>
            </w:r>
          </w:p>
        </w:tc>
        <w:tc>
          <w:tcPr>
            <w:tcW w:type="dxa" w:w="7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Mise en œuvre</w:t>
            </w:r>
          </w:p>
        </w:tc>
      </w:tr>
      <w:tr>
        <w:tc>
          <w:tcPr>
            <w:tcW w:type="dxa" w:w="20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1. Débrancher l'électrovanne</w:t>
            </w:r>
          </w:p>
        </w:tc>
        <w:tc>
          <w:tcPr>
            <w:tcW w:type="dxa" w:w="7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Déconnecter l'alimentation électrique de l'électrovanne (EV) de ligne liquide. L'EV se ferme → le fluide ne peut plus aller au détendeur / évaporateur. Le compresseur aspire ce qu'il reste en BP, le refoule vers le condenseur puis la bouteille liquide. Quand la BP atteint le Cut-out → arrêt compresseur. Fluide stocké en HP.</w:t>
            </w:r>
          </w:p>
        </w:tc>
      </w:tr>
      <w:tr>
        <w:tc>
          <w:tcPr>
            <w:tcW w:type="dxa" w:w="20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2. Modifier la consigne du thermostat</w:t>
            </w:r>
          </w:p>
        </w:tc>
        <w:tc>
          <w:tcPr>
            <w:tcW w:type="dxa" w:w="7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Régler la consigne du thermostat à une valeur SUPÉRIEURE à la T° actuelle de la chambre. Le thermostat considère que la chambre est « en froid » → il coupe l'électrovanne de liquide. Même séquence ensuite qu'en méthode 1.</w:t>
            </w:r>
          </w:p>
        </w:tc>
      </w:tr>
    </w:tbl>
    <w:p>
      <w:r>
        <w:br w:type="page"/>
      </w:r>
    </w:p>
    <w:p>
      <w:pPr>
        <w:spacing w:after="80" w:before="20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4.7 — Le tirage au vide des flexibles</w:t>
      </w:r>
    </w:p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Quand tu raccordes tes flexibles aux vannes de service, leur volume interne contient de l'air (incondensable + humidité). Il faut chasser cet air AVANT d'ouvrir les vannes de service, sinon tu pollues le circuit.</w:t>
      </w:r>
    </w:p>
    <w:tbl>
      <w:tblPr>
        <w:tblW w:type="dxa" w:w="9360"/>
        <w:tblBorders>
          <w:top w:val="single" w:color="FF6B35" w:sz="8"/>
          <w:left w:val="single" w:color="FF6B35" w:sz="8"/>
          <w:bottom w:val="single" w:color="FF6B35" w:sz="8"/>
          <w:right w:val="single" w:color="FF6B35" w:sz="8"/>
          <w:insideH w:val="single" w:color="FF6B35" w:sz="4"/>
          <w:insideV w:val="single" w:color="FF6B35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7F0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40" w:before="60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⚠  Les 3 points-clés du tirage au vide conforme (EP3)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Niveau d'huile de la pompe VÉRIFIÉ avant démarrage (mire centrée).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Capuchon de mise à l'atmosphère RETIRÉ pendant la marche.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Vide descendu à -1 bar sur le mano BP, puis by-pass REFERMÉ AVANT l'arrêt de la pompe (sinon retour d'huile de pompe dans les flexibles).</w:t>
            </w:r>
          </w:p>
        </w:tc>
      </w:tr>
    </w:tbl>
    <w:p>
      <w:pPr>
        <w:spacing w:after="80" w:before="20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4.8 — Rappels réglementaires F-Gaz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2"/>
          <w:szCs w:val="22"/>
        </w:rPr>
        <w:t xml:space="preserve">Toute manipulation de fluide frigorigène nécessite une attestation de capacité (cat. I pour interventions complètes).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2"/>
          <w:szCs w:val="22"/>
        </w:rPr>
        <w:t xml:space="preserve">Aucun rejet volontaire de fluide à l'atmosphère n'est toléré (sanctions pénales et administratives).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2"/>
          <w:szCs w:val="22"/>
        </w:rPr>
        <w:t xml:space="preserve">Les flexibles doivent être équipés de vannes ¼ de tour pour limiter les pertes à chaque déconnexion.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sz w:val="22"/>
          <w:szCs w:val="22"/>
        </w:rPr>
        <w:t xml:space="preserve">Chaque intervention donne lieu à une fiche d'intervention (CERFA 15497*04) pour les fluides fluorés.</w:t>
      </w:r>
    </w:p>
    <w:p>
      <w:r>
        <w:br w:type="page"/>
      </w:r>
    </w:p>
    <w:tbl>
      <w:tblPr>
        <w:tblW w:type="dxa" w:w="9360"/>
        <w:tblBorders>
          <w:top w:val="single" w:color="1B3A63" w:sz="2"/>
          <w:left w:val="single" w:color="1B3A63" w:sz="2"/>
          <w:bottom w:val="single" w:color="1B3A63" w:sz="2"/>
          <w:right w:val="single" w:color="1B3A63" w:sz="2"/>
          <w:insideH w:val="single" w:color="1B3A63" w:sz="2"/>
          <w:insideV w:val="single" w:color="1B3A63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1B3A63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5</w:t>
            </w:r>
          </w:p>
        </w:tc>
        <w:tc>
          <w:tcPr>
            <w:tcW w:type="dxa" w:w="866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E8EEF5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3A63"/>
                <w:sz w:val="28"/>
                <w:szCs w:val="28"/>
              </w:rPr>
              <w:t xml:space="preserve">SCHÉMA FLUIDIQUE DE L'INSTALLATION</w:t>
            </w:r>
          </w:p>
        </w:tc>
      </w:tr>
    </w:tbl>
    <w:p>
      <w:pPr>
        <w:spacing w:after="120" w:before="120"/>
      </w:pPr>
      <w:r>
        <w:rPr>
          <w:rFonts w:ascii="Calibri" w:cs="Calibri" w:eastAsia="Calibri" w:hAnsi="Calibri"/>
          <w:i/>
          <w:iCs/>
          <w:sz w:val="24"/>
          <w:szCs w:val="24"/>
        </w:rPr>
        <w:t xml:space="preserve">Dessine le schéma fluidique de l'installation : compresseur, condenseur, bouteille liquide, détendeur, évaporateur, vannes de service BP et HP, position du jeu de manomètres, position de l'électrovanne de ligne liquide.</w:t>
      </w:r>
    </w:p>
    <w:tbl>
      <w:tblPr>
        <w:tblW w:type="dxa" w:w="9360"/>
        <w:tblBorders>
          <w:top w:val="single" w:color="1B3A63" w:sz="12"/>
          <w:left w:val="single" w:color="1B3A63" w:sz="12"/>
          <w:bottom w:val="single" w:color="1B3A63" w:sz="12"/>
          <w:right w:val="single" w:color="1B3A63" w:sz="12"/>
          <w:insideH w:val="single" w:color="1B3A63" w:sz="4"/>
          <w:insideV w:val="single" w:color="1B3A63" w:sz="4"/>
        </w:tblBorders>
      </w:tblPr>
      <w:tblGrid>
        <w:gridCol w:w="9360"/>
      </w:tblGrid>
      <w:tr>
        <w:trPr>
          <w:cantSplit/>
          <w:trHeight w:val="4800" w:hRule="atLeast"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CFCFC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p>
      <w:r>
        <w:br w:type="page"/>
      </w:r>
    </w:p>
    <w:tbl>
      <w:tblPr>
        <w:tblW w:type="dxa" w:w="9360"/>
        <w:tblBorders>
          <w:top w:val="single" w:color="FF6B35" w:sz="2"/>
          <w:left w:val="single" w:color="FF6B35" w:sz="2"/>
          <w:bottom w:val="single" w:color="FF6B35" w:sz="2"/>
          <w:right w:val="single" w:color="FF6B35" w:sz="2"/>
          <w:insideH w:val="single" w:color="FF6B35" w:sz="2"/>
          <w:insideV w:val="single" w:color="FF6B35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FF6B35" w:sz="2"/>
              <w:left w:val="single" w:color="FF6B35" w:sz="2"/>
              <w:bottom w:val="single" w:color="FF6B35" w:sz="2"/>
              <w:right w:val="single" w:color="FF6B35" w:sz="2"/>
            </w:tcBorders>
            <w:shd w:fill="FF6B35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6</w:t>
            </w:r>
          </w:p>
        </w:tc>
        <w:tc>
          <w:tcPr>
            <w:tcW w:type="dxa" w:w="8660"/>
            <w:tcBorders>
              <w:top w:val="single" w:color="FF6B35" w:sz="2"/>
              <w:left w:val="single" w:color="FF6B35" w:sz="2"/>
              <w:bottom w:val="single" w:color="FF6B35" w:sz="2"/>
              <w:right w:val="single" w:color="FF6B35" w:sz="2"/>
            </w:tcBorders>
            <w:shd w:fill="F5F1EB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6B35"/>
                <w:sz w:val="28"/>
                <w:szCs w:val="28"/>
              </w:rPr>
              <w:t xml:space="preserve">MATÉRIEL ET EPI — Checklist préparation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160"/>
        <w:gridCol w:w="1200"/>
      </w:tblGrid>
      <w:tr>
        <w:trPr>
          <w:cantSplit/>
          <w:tblHeader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Matériel à vérifier avant l'intervention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Présent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Jeu de manomètres (by-pass BP/HP) avec flexibles BP, HP et Commun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Flexibles équipés de vannes ¼ de tour (les 3)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Pompe à vide (pour tirage au vide des flexibles)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Clé à molette (pour vannes de service uniquement — JAMAIS sur les flexibles)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Clés à vanne (carrés ¼" pour manœuvrer les vannes de service)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Bouchons de protection des vannes et des flexibles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Bouteille d'eau savonneuse pour contrôle d'étanchéité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Thermomètre ambiant (pour le rapport P/T)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Table pression / température R-134a (papier ou appli)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Fiche d'intervention F-Gaz (CERFA 15497*04)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FF6B35" w:sz="8"/>
          <w:left w:val="single" w:color="FF6B35" w:sz="8"/>
          <w:bottom w:val="single" w:color="FF6B35" w:sz="8"/>
          <w:right w:val="single" w:color="FF6B35" w:sz="8"/>
          <w:insideH w:val="single" w:color="FF6B35" w:sz="4"/>
          <w:insideV w:val="single" w:color="FF6B35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7F0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40" w:before="60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⚠  RÈGLE D'OR — Serrage des flexibles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On ne serre JAMAIS les flexibles à la clé à molette. Le serrage se fait UNIQUEMENT à la main, côté by-pass comme côté vanne de service.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Serrer un flexible à la clé écrase son joint torique → fuite immédiate ou à court terme. Éliminatoire à l'EP3.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La clé à molette sert uniquement à manœuvrer les carrés des vannes de service si elles sont dures, jamais pour les raccords.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160"/>
        <w:gridCol w:w="1200"/>
      </w:tblGrid>
      <w:tr>
        <w:trPr>
          <w:cantSplit/>
          <w:tblHeader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EPI — Équipements de protection individuelle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Porté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Lunettes de protection (projection d'azote sous pression)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Gants adaptés (anti-coupure)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Chaussures de sécurité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8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Vêtements de travail adaptés (manches longues)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☐</w:t>
            </w:r>
          </w:p>
        </w:tc>
      </w:tr>
    </w:tbl>
    <w:p>
      <w:r>
        <w:br w:type="page"/>
      </w:r>
    </w:p>
    <w:tbl>
      <w:tblPr>
        <w:tblW w:type="dxa" w:w="9360"/>
        <w:tblBorders>
          <w:top w:val="single" w:color="1B3A63" w:sz="2"/>
          <w:left w:val="single" w:color="1B3A63" w:sz="2"/>
          <w:bottom w:val="single" w:color="1B3A63" w:sz="2"/>
          <w:right w:val="single" w:color="1B3A63" w:sz="2"/>
          <w:insideH w:val="single" w:color="1B3A63" w:sz="2"/>
          <w:insideV w:val="single" w:color="1B3A63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1B3A63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7</w:t>
            </w:r>
          </w:p>
        </w:tc>
        <w:tc>
          <w:tcPr>
            <w:tcW w:type="dxa" w:w="866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E8EEF5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3A63"/>
                <w:sz w:val="28"/>
                <w:szCs w:val="28"/>
              </w:rPr>
              <w:t xml:space="preserve">PROCÉDURES D'INTERVENTION</w:t>
            </w:r>
          </w:p>
        </w:tc>
      </w:tr>
    </w:tbl>
    <w:p>
      <w:pPr>
        <w:spacing w:after="120" w:before="80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Légende : R = Réalisé  /  N.R = Non réalisé. Coche chaque opération au fur et à mesure.</w:t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7.1 — Identification de l'installation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060"/>
        <w:gridCol w:w="800"/>
        <w:gridCol w:w="8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N°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Opération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N.R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plaque signalétique du COMPRESSEUR (marque, modèle, fluide préconisé).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plaque signalétique du CONDENSEUR ou groupe extérieur.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plaque signalétique de l'ÉVAPORATEUR.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plaque signalétique du DÉTENDEUR (marque, fluide, étagement).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En déduire le fluide ÉTIQUETÉ de l'installation (normalement : R-134a).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Vérifier la cohérence entre les 4 plaques (même fluide partout).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p>
      <w:pPr>
        <w:spacing w:after="60" w:before="60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Consigne tes relevés dans le tableau suivant 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rPr>
          <w:cantSplit/>
          <w:tblHeader/>
        </w:trPr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Composant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Marque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Modèle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Fluide</w:t>
            </w:r>
          </w:p>
        </w:tc>
      </w:tr>
      <w:tr>
        <w:trPr>
          <w:cantSplit/>
          <w:trHeight w:val="500" w:hRule="atLeast"/>
        </w:trPr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Compresseur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500" w:hRule="atLeast"/>
        </w:trPr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Condenseur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500" w:hRule="atLeast"/>
        </w:trPr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Évaporateur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500" w:hRule="atLeast"/>
        </w:trPr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Détendeur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234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8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p>
      <w:pPr>
        <w:spacing w:after="60" w:before="60"/>
      </w:pPr>
      <w:r>
        <w:rPr>
          <w:rFonts w:ascii="Calibri" w:cs="Calibri" w:eastAsia="Calibri" w:hAnsi="Calibri"/>
          <w:b/>
          <w:bCs/>
          <w:color w:val="1B3A63"/>
          <w:sz w:val="22"/>
          <w:szCs w:val="22"/>
        </w:rPr>
        <w:t xml:space="preserve">Fluide étiqueté de l'installation : ……………………………………………………</w:t>
      </w:r>
    </w:p>
    <w:p>
      <w:r>
        <w:br w:type="page"/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7.2 — Relevé manos poste fixe et exploitation du rapport P/T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060"/>
        <w:gridCol w:w="800"/>
        <w:gridCol w:w="8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N°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Opération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N.R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Installation à l'arrêt depuis longtemps (pressions stabilisées, équilibre HP = BP).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Mesurer la T° ambiante avec le thermomètre.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pression indiquée sur le manomètre BP en POSTE FIXE.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pression indiquée sur le manomètre HP en POSTE FIXE.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Consulter la table P/T du R-134a pour la T° ambiante mesurée.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Comparer la pression théorique (table) et la pression mesurée.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7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Conclure : fluide étiqueté présent OU incondensable (azote) présent.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T° ambiante relevée : …………… °C</w:t>
            </w:r>
          </w:p>
        </w:tc>
        <w:tc>
          <w:tcPr>
            <w:tcW w:type="dxa" w:w="468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P théorique R-134a à cette T° : …………… bar</w:t>
            </w:r>
          </w:p>
        </w:tc>
      </w:tr>
      <w:tr>
        <w:tc>
          <w:tcPr>
            <w:tcW w:type="dxa" w:w="468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P relevée mano BP poste fixe : …………… bar</w:t>
            </w:r>
          </w:p>
        </w:tc>
        <w:tc>
          <w:tcPr>
            <w:tcW w:type="dxa" w:w="468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P relevée mano HP poste fixe : …………… bar</w:t>
            </w:r>
          </w:p>
        </w:tc>
      </w:tr>
      <w:tr>
        <w:tc>
          <w:tcPr>
            <w:tcW w:type="dxa" w:w="9360"/>
            <w:gridSpan w:val="2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Conclusion : </w:t>
            </w:r>
          </w:p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☐  Le fluide correspond au R-134a étiqueté</w:t>
            </w:r>
          </w:p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☐  L'installation est sous azote (incondensable)</w:t>
            </w:r>
          </w:p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☐  Pressions anormales — suspicion de fuite ou de défaut</w:t>
            </w:r>
          </w:p>
        </w:tc>
      </w:tr>
    </w:tbl>
    <w:p>
      <w:r>
        <w:br w:type="page"/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7.3 — Pose des manomètres mobiles (raccordement)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060"/>
        <w:gridCol w:w="800"/>
        <w:gridCol w:w="8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N°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Opération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N.R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Retirer les capuchons de protection des vannes de service BP et HP.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Desserrer d'¼ de tour les presse-étoupes des carrés de vannes.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Contrôler la position des carrés de vannes en SIÈGE ARRIÈRE (dévissés à fond).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Resserrer les presse-étoupes d'¼ de tour pour l'étanchéité.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Dévisser les bouchons des orifices de prise de pression.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Étalonner les aiguilles des manomètres BP et HP sur zéro.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7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Sélectionner le cadran de fluide correspondant à l'installation (R-134a).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8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Vérifier que les 2 robinets du by-pass (BP et HP) sont FERMÉS.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9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Vérifier que les 3 vannes ¼ de tour des flexibles sont FERMÉES.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10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Raccorder le flexible HP (rouge) sur la vanne de service HP — serrage MAIN.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Raccorder le flexible BP (bleu) sur la vanne de service BP — serrage MAIN.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8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FF6B35" w:sz="8"/>
          <w:left w:val="single" w:color="FF6B35" w:sz="8"/>
          <w:bottom w:val="single" w:color="FF6B35" w:sz="8"/>
          <w:right w:val="single" w:color="FF6B35" w:sz="8"/>
          <w:insideH w:val="single" w:color="FF6B35" w:sz="4"/>
          <w:insideV w:val="single" w:color="FF6B35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7F0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40" w:before="60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⚠  Point de vigilance EP3 — le serrage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Serrage à la MAIN uniquement sur les flexibles, des deux côtés (by-pass ET vanne de service).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Jamais de clé à molette ni de pince. Jamais.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Si ça fuit après serrage main → c'est un problème de joint torique, pas de couple de serrage.</w:t>
            </w:r>
          </w:p>
        </w:tc>
      </w:tr>
    </w:tbl>
    <w:p>
      <w:r>
        <w:br w:type="page"/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7.4 — Tirage au vide des flexibles (avant ouverture vannes de service)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060"/>
        <w:gridCol w:w="800"/>
        <w:gridCol w:w="8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N°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Opération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N.R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Raccorder le flexible Commun (jaune) à la pompe à vide (serrage main).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Contrôler le niveau d'huile de la pompe à vide (mire centrée).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Retirer le capuchon de mise à la pression atmosphérique de la pompe.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Mettre la pompe à vide en fonctionnement.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Ouvrir la vanne ¼ de tour du flexible Commun (jaune).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Ouvrir les 2 robinets du by-pass BP et HP.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7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Ouvrir les vannes ¼ de tour des flexibles BP (bleu) et HP (rouge).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8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Contrôler la descente du vide sur le mano BP.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9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Quand le mano BP indique -1 bar : fermer les 2 robinets du by-pass.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10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Fermer la vanne ¼ de tour du flexible Commun (jaune).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Arrêter la pompe à vide (TOUJOURS après fermeture by-pass).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Déconnecter le flexible Commun de la pompe à vide.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8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FF6B35" w:sz="8"/>
          <w:left w:val="single" w:color="FF6B35" w:sz="8"/>
          <w:bottom w:val="single" w:color="FF6B35" w:sz="8"/>
          <w:right w:val="single" w:color="FF6B35" w:sz="8"/>
          <w:insideH w:val="single" w:color="FF6B35" w:sz="4"/>
          <w:insideV w:val="single" w:color="FF6B35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7F0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40" w:before="60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⚠  Point de vigilance EP3 — ordre d'arrêt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ORDRE STRICT : 1) fermer by-pass → 2) fermer vanne Commun → 3) arrêter pompe.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Inverser cet ordre fait remonter l'huile de la pompe dans tes flexibles = flexibles pollués.</w:t>
            </w:r>
          </w:p>
        </w:tc>
      </w:tr>
    </w:tbl>
    <w:p>
      <w:r>
        <w:br w:type="page"/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7.5 — Ouverture vannes de service et relevé comparatif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060"/>
        <w:gridCol w:w="800"/>
        <w:gridCol w:w="8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N°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Opération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N.R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Manœuvrer la vanne de service HP vers la position INTERMÉDIAIRE (dévisser d'1 tour).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Manœuvrer la vanne de service BP vers la position INTERMÉDIAIRE (dévisser d'1 tour).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Attendre la stabilisation des pressions sur les manos mobiles.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pression BP sur le mano mobile.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pression HP sur le mano mobile.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Comparer avec les pressions relevées au poste fixe (§ 7.2).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7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Conclure : fuite pendant le raccordement ou non.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/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Poste fixe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Mano mobile</w:t>
            </w:r>
          </w:p>
        </w:tc>
      </w:tr>
      <w:t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Pression BP (bar)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Pression HP (bar)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Écart constaté</w:t>
            </w:r>
          </w:p>
        </w:tc>
        <w:tc>
          <w:tcPr>
            <w:tcW w:type="dxa" w:w="6240"/>
            <w:gridSpan w:val="2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i/>
                <w:iCs/>
                <w:sz w:val="22"/>
                <w:szCs w:val="22"/>
              </w:rPr>
              <w:t xml:space="preserve">Si écart important → fuite au raccordement</w:t>
            </w:r>
          </w:p>
        </w:tc>
      </w:tr>
    </w:tbl>
    <w:p>
      <w:r>
        <w:br w:type="page"/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7.6 — Mise en service et relevé du pressostat BP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060"/>
        <w:gridCol w:w="800"/>
        <w:gridCol w:w="8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N°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Opération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N.R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Vérifier que les vannes de service sont bien en position INTERMÉDIAIRE.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Mettre l'installation sous tension.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Attendre le démarrage du compresseur.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Observer la descente de la BP et la montée de la HP sur les manos mobiles.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Ouvrir le capot du pressostat BP et identifier les vis de réglage.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Lire le réglage CUT-IN (pression d'enclenchement) sur l'échelle.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7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Lire le réglage DIFFÉRENTIEL (ou en déduire le Cut-out : Cut-in − Diff).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8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BP au moment précis où le compresseur S'ARRÊTE (= Cut-out réel).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9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BP au moment précis où le compresseur REDÉMARRE (= Cut-in réel).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10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Comparer les valeurs affichées sur le pressostat et les valeurs mesurées.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Juger : réglages conformes à l'usage R-134a ou à réajuster.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Réglage pressostat BP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Lu sur appareil (bar)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Mesuré au mano (bar)</w:t>
            </w:r>
          </w:p>
        </w:tc>
      </w:tr>
      <w:t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Cut-in (enclenchement)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Cut-out (coupure)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Différentiel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c>
          <w:tcPr>
            <w:tcW w:type="dxa" w:w="312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Jugement</w:t>
            </w:r>
          </w:p>
        </w:tc>
        <w:tc>
          <w:tcPr>
            <w:tcW w:type="dxa" w:w="6240"/>
            <w:gridSpan w:val="2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☐ Réglages conformes</w:t>
            </w:r>
          </w:p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☐ Réglages non conformes (préciser) : ………………………………</w:t>
            </w:r>
          </w:p>
        </w:tc>
      </w:tr>
    </w:tbl>
    <w:p>
      <w:r>
        <w:br w:type="page"/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7.7 — Pump-down (ravalement dans la bouteille liquide)</w:t>
      </w:r>
    </w:p>
    <w:p>
      <w:pPr>
        <w:spacing w:after="80" w:before="60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Choisir UNE des 2 méthodes et cocher la case correspondante. L'autre méthode peut être pratiquée dans un second temps pour comparaison.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☐  Méthode 1 : débrancher l'électrovanne de ligne liquide</w:t>
            </w:r>
          </w:p>
        </w:tc>
        <w:tc>
          <w:tcPr>
            <w:tcW w:type="dxa" w:w="468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☐  Méthode 2 : modifier la consigne du thermostat (au-dessus de la T° réelle)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060"/>
        <w:gridCol w:w="800"/>
        <w:gridCol w:w="8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N°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Opération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N.R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Installation EN MARCHE, compresseur tournant, pressions stabilisées.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Selon méthode choisie : soit débrancher l'électrovanne, soit augmenter la consigne thermostat.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Observer la fermeture de l'électrovanne de ligne liquide (bruit caractéristique).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Observer la chute progressive de la pression BP sur le mano mobile.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Observer la montée de la HP (le fluide s'accumule dans la bouteille liquide).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Attendre l'arrêt automatique du compresseur par le pressostat BP.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7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BP au moment de l'arrêt (doit correspondre au Cut-out mesuré en 7.6).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8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Relever la HP finale : vérifier que le fluide est bien stocké côté HP.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9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Couper l'alimentation électrique générale de l'installation.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8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FF6B35" w:sz="8"/>
          <w:left w:val="single" w:color="FF6B35" w:sz="8"/>
          <w:bottom w:val="single" w:color="FF6B35" w:sz="8"/>
          <w:right w:val="single" w:color="FF6B35" w:sz="8"/>
          <w:insideH w:val="single" w:color="FF6B35" w:sz="4"/>
          <w:insideV w:val="single" w:color="FF6B35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7F0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40" w:before="60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⚠  Point de vigilance EP3 — pump-down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Ne jamais fermer manuellement la vanne de service HP côté compresseur pendant le pump-down : tu emprisonnes du fluide entre le compresseur et la vanne → risque de surpression.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En fin de pump-down, la bouteille liquide contient la majeure partie du fluide. On peut alors intervenir côté BP en sécurité.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Ici avec de l'azote, l'arrêt sur BP fonctionne mais l'azote remonte vite côté BP par perméation → cycles courts possibles, c'est normal.</w:t>
            </w:r>
          </w:p>
        </w:tc>
      </w:tr>
    </w:tbl>
    <w:p>
      <w:r>
        <w:br w:type="page"/>
      </w:r>
    </w:p>
    <w:p>
      <w:pPr>
        <w:spacing w:after="80" w:before="80"/>
      </w:pPr>
      <w:r>
        <w:rPr>
          <w:rFonts w:ascii="Calibri" w:cs="Calibri" w:eastAsia="Calibri" w:hAnsi="Calibri"/>
          <w:b/>
          <w:bCs/>
          <w:color w:val="1B3A63"/>
          <w:sz w:val="26"/>
          <w:szCs w:val="26"/>
        </w:rPr>
        <w:t xml:space="preserve">7.8 — Dépose du jeu de manomètres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060"/>
        <w:gridCol w:w="800"/>
        <w:gridCol w:w="800"/>
      </w:tblGrid>
      <w:tr>
        <w:trPr>
          <w:cantSplit/>
          <w:tblHeader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N°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Opération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N.R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Installation hors tension, pump-down réalisé (fluide stocké en bouteille liquide).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Fermer les 2 robinets du by-pass BP et HP.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Manœuvrer les vannes de service BP et HP vers SIÈGE ARRIÈRE (revissées à fond).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4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Fermer la vanne ¼ de tour du flexible BP (bleu).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5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Fermer la vanne ¼ de tour du flexible HP (rouge).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6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Dévisser le flexible HP (rouge) de la vanne de service HP — à la MAIN.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7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Dévisser le flexible BP (bleu) de la vanne de service BP — à la MAIN.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8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Remettre les bouchons des orifices de prise de pression.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9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Remettre les capuchons de protection des vannes de service.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10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Reconnecter l'électrovanne (ou remettre la consigne thermostat normale).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11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Ranger les manomètres et flexibles dans leur emballage de transport.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12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Nettoyer et ranger le poste de travail.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4"/>
                <w:szCs w:val="24"/>
              </w:rPr>
              <w:t xml:space="preserve">13</w:t>
            </w:r>
          </w:p>
        </w:tc>
        <w:tc>
          <w:tcPr>
            <w:tcW w:type="dxa" w:w="70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Remplir la fiche d'intervention (CERFA 15497*04).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8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8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FF6B35" w:sz="8"/>
          <w:left w:val="single" w:color="FF6B35" w:sz="8"/>
          <w:bottom w:val="single" w:color="FF6B35" w:sz="8"/>
          <w:right w:val="single" w:color="FF6B35" w:sz="8"/>
          <w:insideH w:val="single" w:color="FF6B35" w:sz="4"/>
          <w:insideV w:val="single" w:color="FF6B35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7F0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40" w:before="60"/>
            </w:pPr>
            <w:r>
              <w:rPr>
                <w:rFonts w:ascii="Calibri" w:cs="Calibri" w:eastAsia="Calibri" w:hAnsi="Calibri"/>
                <w:b/>
                <w:bCs/>
                <w:color w:val="FF6B35"/>
                <w:sz w:val="24"/>
                <w:szCs w:val="24"/>
              </w:rPr>
              <w:t xml:space="preserve">⚠  Point de vigilance EP3 — règle d'or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Pas de rejet de fluide à l'atmosphère : grâce aux vannes ¼ de tour, le peu de fluide restant dans les flexibles est confiné.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Ne jamais « libérer la pression » en ouvrant une vanne à l'air libre — c'est éliminatoire à l'EP3 et c'est une infraction F-Gaz.</w:t>
            </w:r>
          </w:p>
          <w:p>
            <w:pPr>
              <w:spacing w:after="3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Vérifier avant de quitter : les vannes de service sont bien en siège arrière, capuchons remis.</w:t>
            </w:r>
          </w:p>
        </w:tc>
      </w:tr>
    </w:tbl>
    <w:p>
      <w:r>
        <w:br w:type="page"/>
      </w:r>
    </w:p>
    <w:tbl>
      <w:tblPr>
        <w:tblW w:type="dxa" w:w="9360"/>
        <w:tblBorders>
          <w:top w:val="single" w:color="FF6B35" w:sz="2"/>
          <w:left w:val="single" w:color="FF6B35" w:sz="2"/>
          <w:bottom w:val="single" w:color="FF6B35" w:sz="2"/>
          <w:right w:val="single" w:color="FF6B35" w:sz="2"/>
          <w:insideH w:val="single" w:color="FF6B35" w:sz="2"/>
          <w:insideV w:val="single" w:color="FF6B35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FF6B35" w:sz="2"/>
              <w:left w:val="single" w:color="FF6B35" w:sz="2"/>
              <w:bottom w:val="single" w:color="FF6B35" w:sz="2"/>
              <w:right w:val="single" w:color="FF6B35" w:sz="2"/>
            </w:tcBorders>
            <w:shd w:fill="FF6B35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8</w:t>
            </w:r>
          </w:p>
        </w:tc>
        <w:tc>
          <w:tcPr>
            <w:tcW w:type="dxa" w:w="8660"/>
            <w:tcBorders>
              <w:top w:val="single" w:color="FF6B35" w:sz="2"/>
              <w:left w:val="single" w:color="FF6B35" w:sz="2"/>
              <w:bottom w:val="single" w:color="FF6B35" w:sz="2"/>
              <w:right w:val="single" w:color="FF6B35" w:sz="2"/>
            </w:tcBorders>
            <w:shd w:fill="F5F1EB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FF6B35"/>
                <w:sz w:val="28"/>
                <w:szCs w:val="28"/>
              </w:rPr>
              <w:t xml:space="preserve">ANALYSE DES RISQUES — à compléter</w:t>
            </w:r>
          </w:p>
        </w:tc>
      </w:tr>
    </w:tbl>
    <w:p>
      <w:pPr>
        <w:spacing w:after="120" w:before="80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Pour chaque phase, identifie le risque principal, sa gravité (G : 1 à 4), sa probabilité (P : 1 à 4) et la mesure de prévention.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400"/>
        <w:gridCol w:w="700"/>
        <w:gridCol w:w="700"/>
        <w:gridCol w:w="3400"/>
      </w:tblGrid>
      <w:tr>
        <w:trPr>
          <w:cantSplit/>
          <w:tblHeader/>
        </w:trPr>
        <w:tc>
          <w:tcPr>
            <w:tcW w:type="dxa" w:w="2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Phase</w:t>
            </w:r>
          </w:p>
        </w:tc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Risque identifié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G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P</w:t>
            </w:r>
          </w:p>
        </w:tc>
        <w:tc>
          <w:tcPr>
            <w:tcW w:type="dxa" w:w="3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6B3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Mesure de prévention</w:t>
            </w:r>
          </w:p>
        </w:tc>
      </w:tr>
      <w:tr>
        <w:trPr>
          <w:cantSplit/>
          <w:trHeight w:val="600" w:hRule="atLeast"/>
        </w:trPr>
        <w:tc>
          <w:tcPr>
            <w:tcW w:type="dxa" w:w="2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Identification / relevés plaques</w:t>
            </w:r>
          </w:p>
        </w:tc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600" w:hRule="atLeast"/>
        </w:trPr>
        <w:tc>
          <w:tcPr>
            <w:tcW w:type="dxa" w:w="2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Pose (raccordement)</w:t>
            </w:r>
          </w:p>
        </w:tc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600" w:hRule="atLeast"/>
        </w:trPr>
        <w:tc>
          <w:tcPr>
            <w:tcW w:type="dxa" w:w="2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Tirage au vide flexibles</w:t>
            </w:r>
          </w:p>
        </w:tc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600" w:hRule="atLeast"/>
        </w:trPr>
        <w:tc>
          <w:tcPr>
            <w:tcW w:type="dxa" w:w="2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Mise en service + pressostat</w:t>
            </w:r>
          </w:p>
        </w:tc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600" w:hRule="atLeast"/>
        </w:trPr>
        <w:tc>
          <w:tcPr>
            <w:tcW w:type="dxa" w:w="2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Pump-down</w:t>
            </w:r>
          </w:p>
        </w:tc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600" w:hRule="atLeast"/>
        </w:trPr>
        <w:tc>
          <w:tcPr>
            <w:tcW w:type="dxa" w:w="2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Dépose</w:t>
            </w:r>
          </w:p>
        </w:tc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5F1EB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  <w:tr>
        <w:trPr>
          <w:cantSplit/>
          <w:trHeight w:val="600" w:hRule="atLeast"/>
        </w:trPr>
        <w:tc>
          <w:tcPr>
            <w:tcW w:type="dxa" w:w="21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Rangement / poste de travail</w:t>
            </w:r>
          </w:p>
        </w:tc>
        <w:tc>
          <w:tcPr>
            <w:tcW w:type="dxa" w:w="2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7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type="dxa" w:w="34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4"/>
                <w:szCs w:val="24"/>
              </w:rPr>
              <w:t xml:space="preserve"> </w:t>
            </w:r>
          </w:p>
        </w:tc>
      </w:tr>
    </w:tbl>
    <w:p>
      <w:pPr>
        <w:spacing w:after="6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p>
      <w:r>
        <w:br w:type="page"/>
      </w:r>
    </w:p>
    <w:tbl>
      <w:tblPr>
        <w:tblW w:type="dxa" w:w="9360"/>
        <w:tblBorders>
          <w:top w:val="single" w:color="1B3A63" w:sz="2"/>
          <w:left w:val="single" w:color="1B3A63" w:sz="2"/>
          <w:bottom w:val="single" w:color="1B3A63" w:sz="2"/>
          <w:right w:val="single" w:color="1B3A63" w:sz="2"/>
          <w:insideH w:val="single" w:color="1B3A63" w:sz="2"/>
          <w:insideV w:val="single" w:color="1B3A63" w:sz="2"/>
        </w:tblBorders>
      </w:tblPr>
      <w:tblGrid>
        <w:gridCol w:w="700"/>
        <w:gridCol w:w="8660"/>
      </w:tblGrid>
      <w:tr>
        <w:trPr>
          <w:cantSplit/>
        </w:trPr>
        <w:tc>
          <w:tcPr>
            <w:tcW w:type="dxa" w:w="70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1B3A63" w:val="clear"/>
            <w:tcMar>
              <w:top w:type="dxa" w:w="100"/>
              <w:left w:type="dxa" w:w="100"/>
              <w:bottom w:type="dxa" w:w="10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2"/>
                <w:szCs w:val="32"/>
              </w:rPr>
              <w:t xml:space="preserve">9</w:t>
            </w:r>
          </w:p>
        </w:tc>
        <w:tc>
          <w:tcPr>
            <w:tcW w:type="dxa" w:w="8660"/>
            <w:tcBorders>
              <w:top w:val="single" w:color="1B3A63" w:sz="2"/>
              <w:left w:val="single" w:color="1B3A63" w:sz="2"/>
              <w:bottom w:val="single" w:color="1B3A63" w:sz="2"/>
              <w:right w:val="single" w:color="1B3A63" w:sz="2"/>
            </w:tcBorders>
            <w:shd w:fill="E8EEF5" w:val="clear"/>
            <w:tcMar>
              <w:top w:type="dxa" w:w="100"/>
              <w:left w:type="dxa" w:w="200"/>
              <w:bottom w:type="dxa" w:w="100"/>
              <w:right w:type="dxa" w:w="140"/>
            </w:tcMar>
            <w:vAlign w:val="center"/>
          </w:tcPr>
          <w:p>
            <w:r>
              <w:rPr>
                <w:rFonts w:ascii="Calibri" w:cs="Calibri" w:eastAsia="Calibri" w:hAnsi="Calibri"/>
                <w:b/>
                <w:bCs/>
                <w:color w:val="1B3A63"/>
                <w:sz w:val="28"/>
                <w:szCs w:val="28"/>
              </w:rPr>
              <w:t xml:space="preserve">AUTO-ÉVALUATION — à remplir par l'élève</w:t>
            </w:r>
          </w:p>
        </w:tc>
      </w:tr>
    </w:tbl>
    <w:p>
      <w:pPr>
        <w:spacing w:after="80" w:before="80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Sois honnête : cette grille sert à préparer l'EP3 et à repérer ce qu'il te reste à travailler.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760"/>
        <w:gridCol w:w="1200"/>
        <w:gridCol w:w="1200"/>
        <w:gridCol w:w="1200"/>
      </w:tblGrid>
      <w:tr>
        <w:trPr>
          <w:cantSplit/>
          <w:tblHeader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Compétence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Acquis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En cours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1B3A63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4"/>
                <w:szCs w:val="24"/>
              </w:rPr>
              <w:t xml:space="preserve">À revoir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identifier le fluide étiqueté à partir des 4 plaques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utiliser le rapport P/T pour détecter la présence d'azote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identifier les 3 positions d'une vanne de service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raccorder un jeu de manos sans fuite et sans clé sur flexibles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tirer au vide mes flexibles dans le bon ordre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comparer un relevé mano mobile et poste fixe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relever et apprécier les réglages d'un pressostat BP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réaliser un pump-down (les 2 méthodes)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déposer les manos sans rejet de fluide (règles F-Gaz)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  <w:tr>
        <w:trPr>
          <w:cantSplit/>
        </w:trPr>
        <w:tc>
          <w:tcPr>
            <w:tcW w:type="dxa" w:w="57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Je sais remplir une fiche d'intervention CERFA 15497*04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  <w:tc>
          <w:tcPr>
            <w:tcW w:type="dxa" w:w="120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60" w:before="60"/>
              <w:jc w:val="center"/>
            </w:pPr>
            <w:r>
              <w:rPr>
                <w:rFonts w:ascii="Calibri" w:cs="Calibri" w:eastAsia="Calibri" w:hAnsi="Calibri"/>
                <w:sz w:val="26"/>
                <w:szCs w:val="26"/>
              </w:rPr>
              <w:t xml:space="preserve">☐</w:t>
            </w:r>
          </w:p>
        </w:tc>
      </w:tr>
    </w:tbl>
    <w:p>
      <w:pPr>
        <w:spacing w:after="0" w:before="60"/>
      </w:pPr>
      <w:r>
        <w:rPr>
          <w:rFonts w:ascii="Calibri" w:cs="Calibri" w:eastAsia="Calibri" w:hAnsi="Calibri"/>
          <w:sz w:val="24"/>
          <w:szCs w:val="24"/>
        </w:rPr>
        <w:t xml:space="preserve"> </w:t>
      </w:r>
    </w:p>
    <w:tbl>
      <w:tblPr>
        <w:tblW w:type="dxa" w:w="9360"/>
        <w:tblBorders>
          <w:top w:val="single" w:color="1B3A63" w:sz="8"/>
          <w:left w:val="single" w:color="1B3A63" w:sz="8"/>
          <w:bottom w:val="single" w:color="1B3A63" w:sz="8"/>
          <w:right w:val="single" w:color="1B3A63" w:sz="8"/>
          <w:insideH w:val="single" w:color="1B3A63" w:sz="4"/>
          <w:insideV w:val="single" w:color="1B3A63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single" w:color="D9DEE6" w:sz="4"/>
              <w:left w:val="single" w:color="D9DEE6" w:sz="4"/>
              <w:bottom w:val="single" w:color="D9DEE6" w:sz="4"/>
              <w:right w:val="single" w:color="D9DEE6" w:sz="4"/>
            </w:tcBorders>
            <w:shd w:fill="E8EEF5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Calibri" w:cs="Calibri" w:eastAsia="Calibri" w:hAnsi="Calibri"/>
                <w:b/>
                <w:bCs/>
                <w:color w:val="1B3A63"/>
                <w:sz w:val="22"/>
                <w:szCs w:val="22"/>
              </w:rPr>
              <w:t xml:space="preserve">Objectif EP3 — tu dois être capable de refaire TOUTE l'intervention (identification → pose → mise en service → pump-down → dépose) sans support, en verbalisant chaque geste. L'examinateur juge autant le GESTE que la VERBALISATION.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700" w:right="1134" w:bottom="144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B3A63" w:sz="6" w:space="4"/>
      </w:pBdr>
      <w:tabs>
        <w:tab w:val="center" w:pos="4680"/>
        <w:tab w:val="right" w:pos="9360"/>
      </w:tabs>
      <w:spacing w:after="0" w:before="120"/>
      <w:jc w:val="center"/>
    </w:pPr>
    <w:r>
      <w:rPr>
        <w:rFonts w:ascii="Calibri" w:cs="Calibri" w:eastAsia="Calibri" w:hAnsi="Calibri"/>
        <w:color w:val="666666"/>
        <w:sz w:val="16"/>
        <w:szCs w:val="16"/>
      </w:rPr>
      <w:t xml:space="preserve">LP Privé Jacques Raynaud — Campus ÉQUATIO — 59 traverse Charles Susini, 13013 Marseille</w:t>
    </w:r>
    <w:r>
      <w:rPr>
        <w:rFonts w:ascii="Calibri" w:cs="Calibri" w:eastAsia="Calibri" w:hAnsi="Calibri"/>
        <w:sz w:val="16"/>
        <w:szCs w:val="16"/>
      </w:rPr>
      <w:t xml:space="preserve">	</w:t>
    </w:r>
    <w:r>
      <w:rPr>
        <w:rFonts w:ascii="Calibri" w:cs="Calibri" w:eastAsia="Calibri" w:hAnsi="Calibri"/>
        <w:b/>
        <w:bCs/>
        <w:color w:val="1B3A63"/>
        <w:sz w:val="16"/>
        <w:szCs w:val="16"/>
      </w:rPr>
      <w:t xml:space="preserve">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638"/>
      <w:tblBorders>
        <w:top w:val="single" w:color="1B3A63" w:sz="12"/>
        <w:left w:val="none" w:color="FFFFFF" w:sz="0"/>
        <w:bottom w:val="single" w:color="FF6B35" w:sz="12"/>
        <w:right w:val="none" w:color="FFFFFF" w:sz="0"/>
        <w:insideH w:val="none" w:color="FFFFFF" w:sz="0"/>
        <w:insideV w:val="none" w:color="FFFFFF" w:sz="0"/>
      </w:tblBorders>
    </w:tblPr>
    <w:tblGrid>
      <w:gridCol w:w="6938"/>
      <w:gridCol w:w="2700"/>
    </w:tblGrid>
    <w:tr>
      <w:trPr>
        <w:cantSplit/>
      </w:trPr>
      <w:tc>
        <w:tcPr>
          <w:tcW w:type="dxa" w:w="6938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60"/>
            <w:bottom w:type="dxa" w:w="80"/>
            <w:right w:type="dxa" w:w="40"/>
          </w:tcMar>
          <w:vAlign w:val="center"/>
        </w:tcPr>
        <w:p>
          <w:pPr>
            <w:spacing w:after="0" w:before="0"/>
          </w:pPr>
          <w:r>
            <w:rPr>
              <w:rFonts w:ascii="Calibri" w:cs="Calibri" w:eastAsia="Calibri" w:hAnsi="Calibri"/>
              <w:b/>
              <w:bCs/>
              <w:color w:val="1B3A63"/>
              <w:sz w:val="24"/>
              <w:szCs w:val="24"/>
            </w:rPr>
            <w:t xml:space="preserve">LYCÉE PROFESSIONNEL JACQUES RAYNAUD</w:t>
          </w:r>
        </w:p>
        <w:p>
          <w:pPr>
            <w:spacing w:after="0" w:before="30"/>
          </w:pPr>
          <w:r>
            <w:rPr>
              <w:rFonts w:ascii="Calibri" w:cs="Calibri" w:eastAsia="Calibri" w:hAnsi="Calibri"/>
              <w:color w:val="444444"/>
              <w:sz w:val="18"/>
              <w:szCs w:val="18"/>
            </w:rPr>
            <w:t xml:space="preserve">Campus ÉQUATIO  —  </w:t>
          </w:r>
          <w:r>
            <w:rPr>
              <w:rFonts w:ascii="Calibri" w:cs="Calibri" w:eastAsia="Calibri" w:hAnsi="Calibri"/>
              <w:i/>
              <w:iCs/>
              <w:color w:val="666666"/>
              <w:sz w:val="18"/>
              <w:szCs w:val="18"/>
            </w:rPr>
            <w:t xml:space="preserve">TP Intervention sur installation frigorifique</w:t>
          </w:r>
        </w:p>
      </w:tc>
      <w:tc>
        <w:tcPr>
          <w:tcW w:type="dxa" w:w="27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40"/>
            <w:bottom w:type="dxa" w:w="80"/>
            <w:right w:type="dxa" w:w="60"/>
          </w:tcMar>
          <w:vAlign w:val="center"/>
        </w:tcPr>
        <w:p>
          <w:pPr>
            <w:spacing w:after="0" w:before="0"/>
            <w:jc w:val="right"/>
          </w:pPr>
          <w:r>
            <w:rPr>
              <w:rFonts w:ascii="Calibri" w:cs="Calibri" w:eastAsia="Calibri" w:hAnsi="Calibri"/>
              <w:b/>
              <w:bCs/>
              <w:color w:val="1B3A63"/>
              <w:sz w:val="22"/>
              <w:szCs w:val="22"/>
            </w:rPr>
            <w:t xml:space="preserve">CAP IFCA</w:t>
          </w:r>
        </w:p>
        <w:p>
          <w:pPr>
            <w:spacing w:after="0" w:before="30"/>
            <w:jc w:val="right"/>
          </w:pPr>
          <w:r>
            <w:rPr>
              <w:rFonts w:ascii="Calibri" w:cs="Calibri" w:eastAsia="Calibri" w:hAnsi="Calibri"/>
              <w:b/>
              <w:bCs/>
              <w:color w:val="FF6B35"/>
              <w:sz w:val="20"/>
              <w:szCs w:val="20"/>
            </w:rPr>
            <w:t xml:space="preserve">Révision EP3</w:t>
          </w:r>
        </w:p>
      </w:tc>
    </w:tr>
  </w:tbl>
  <w:p>
    <w:pPr>
      <w:spacing w:after="80" w:before="0"/>
    </w:pPr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0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Calibri" w:cs="Calibri" w:eastAsia="Calibri" w:hAnsi="Calibri"/>
      <w:b/>
      <w:bCs/>
      <w:color w:val="1B3A63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Calibri" w:cs="Calibri" w:eastAsia="Calibri" w:hAnsi="Calibri"/>
      <w:b/>
      <w:bCs/>
      <w:color w:val="1B3A63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 Intervention frigorifique — CAP IFCA — Révision EP3</dc:title>
  <dc:creator>LP Jacques Raynaud — Campus ÉQUATIO</dc:creator>
  <dc:description>LP Privé Jacques Raynaud — Campus ÉQUATIO — Marseille</dc:description>
  <cp:lastModifiedBy>Un-named</cp:lastModifiedBy>
  <cp:revision>1</cp:revision>
  <dcterms:created xsi:type="dcterms:W3CDTF">2026-04-20T05:57:49.834Z</dcterms:created>
  <dcterms:modified xsi:type="dcterms:W3CDTF">2026-04-20T05:57:49.835Z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